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AB1E" w14:textId="295E4D74" w:rsidR="00846952" w:rsidRDefault="00846952" w:rsidP="00846952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10. rész</w:t>
      </w:r>
      <w:bookmarkStart w:id="0" w:name="_GoBack"/>
      <w:bookmarkEnd w:id="0"/>
    </w:p>
    <w:p w14:paraId="7B361299" w14:textId="252168B5" w:rsidR="00846952" w:rsidRDefault="00846952" w:rsidP="00846952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AZ IMÁDKOZÁS</w:t>
      </w:r>
    </w:p>
    <w:p w14:paraId="64746666" w14:textId="77777777" w:rsidR="00846952" w:rsidRDefault="00846952" w:rsidP="00846952">
      <w:pPr>
        <w:spacing w:after="120"/>
        <w:rPr>
          <w:color w:val="000000"/>
        </w:rPr>
      </w:pP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„</w:t>
      </w:r>
      <w:proofErr w:type="gramEnd"/>
      <w:r>
        <w:rPr>
          <w:color w:val="000000"/>
          <w:highlight w:val="white"/>
        </w:rPr>
        <w:t>Amikor imádkoztok, ne legyetek olyanok, mint a képmutatók, akik szeretnek a zsinagógákban és az utcasarkokon megállva imádkozni, hogy lássák őket az emberek. Bizony, mondom néktek: megkapták jutalmukat.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Te pedig amikor imádkozol, menj be a belső szobádba, és ajtódat bezárva imádkozzál Atyádhoz titokban; Atyád pedig, aki látja, amit titokban teszel, megfizet neked.” </w:t>
      </w:r>
    </w:p>
    <w:p w14:paraId="608949C5" w14:textId="77777777" w:rsidR="00846952" w:rsidRDefault="00846952" w:rsidP="00846952">
      <w:pPr>
        <w:spacing w:after="120"/>
        <w:jc w:val="center"/>
        <w:rPr>
          <w:color w:val="000000"/>
        </w:rPr>
      </w:pPr>
      <w:r>
        <w:rPr>
          <w:color w:val="000000"/>
        </w:rPr>
        <w:t>A BÖJTÖLÉS</w:t>
      </w:r>
    </w:p>
    <w:p w14:paraId="0DDFE7EE" w14:textId="77777777" w:rsidR="00846952" w:rsidRDefault="00846952" w:rsidP="00846952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„Amikor pedig böjtöltök, ne nézzetek komoran, mint a képmutatók, akik eltorzítják arcukat, hogy lássák az emberek böjtölésüket. Bizony, mondom néktek: megkapták jutalmukat.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Amikor pedig te böjtölsz, kend meg a fejedet, és mosd meg az arcodat,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hogy böjtölésedet ne az emberek lássák, hanem Atyád, aki rejtve van; és Atyád, aki látja, ami titokban történik, megfizet neked.”</w:t>
      </w:r>
    </w:p>
    <w:p w14:paraId="61D1555F" w14:textId="77777777" w:rsidR="00846952" w:rsidRDefault="00846952" w:rsidP="00846952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A SZENT DOLGOK MEGBECSÜLÉSE</w:t>
      </w:r>
    </w:p>
    <w:p w14:paraId="36C51B64" w14:textId="77777777" w:rsidR="00846952" w:rsidRDefault="00846952" w:rsidP="00846952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„Ne adjátok oda a kutyáknak azt, ami szent, gyöngyeiteket se dobjátok oda a disznók elé, nehogy lábukkal széttapossák azokat, majd megfordulva széttépjenek titeket.”</w:t>
      </w:r>
    </w:p>
    <w:p w14:paraId="42B8AB29" w14:textId="77777777" w:rsidR="00846952" w:rsidRDefault="00846952" w:rsidP="00846952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SZOROS KAPU, KESKENY ÚT</w:t>
      </w:r>
    </w:p>
    <w:p w14:paraId="418B29F2" w14:textId="77777777" w:rsidR="00846952" w:rsidRDefault="00846952" w:rsidP="00846952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„Menjetek be a szoros kapun! Mert tágas az a kapu, és széles az az út, amely a kárhozatba visz, és sokan vannak, akik azon járnak.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Mert szoros az a kapu, és keskeny az az út, amely az életre visz, és kevesen vannak, akik azt megtalálják.”</w:t>
      </w:r>
    </w:p>
    <w:p w14:paraId="12D511E4" w14:textId="77777777" w:rsidR="00846952" w:rsidRDefault="00846952" w:rsidP="00846952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A HAMIS PRÓFÉTÁK</w:t>
      </w:r>
    </w:p>
    <w:p w14:paraId="131C1DAA" w14:textId="77777777" w:rsidR="00846952" w:rsidRDefault="00846952" w:rsidP="00846952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„Óvakodjatok a hamis prófétáktól, akik juhok ruhájában jönnek hozzátok, de belül ragadozó farkasok.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Gyümölcseikről ismeritek meg őket. Tüskebokorról szednek-e szőlőt, vagy bogáncskóróról fügét?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Tehát minden jó fa jó gyümölcsöt terem, a rossz fa pedig rossz gyümölcsöt terem.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Nem hozhat a jó fa rossz gyümölcsöt, rossz fa sem hozhat jó gyümölcsöt.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Amelyik fa nem terem jó gyümölcsöt, azt kivágják, és tűzre vetik.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Tehát gyümölcseikről ismeritek meg őket.”</w:t>
      </w:r>
    </w:p>
    <w:p w14:paraId="38AAC153" w14:textId="77777777" w:rsidR="00846952" w:rsidRPr="00125C2E" w:rsidRDefault="00846952" w:rsidP="00846952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12,33</w:t>
      </w:r>
      <w:r>
        <w:rPr>
          <w:color w:val="000000"/>
          <w:highlight w:val="white"/>
        </w:rPr>
        <w:t>„Ha jó a fa, jó a gyümölcse is, ha rossz a fa, rossz a gyümölcse is. Mert gyümölcséről lehet megismerni a fát. </w:t>
      </w:r>
      <w:r>
        <w:rPr>
          <w:color w:val="000000"/>
          <w:sz w:val="18"/>
          <w:szCs w:val="18"/>
          <w:highlight w:val="white"/>
          <w:vertAlign w:val="superscript"/>
        </w:rPr>
        <w:t>34</w:t>
      </w:r>
      <w:r>
        <w:rPr>
          <w:color w:val="000000"/>
          <w:highlight w:val="white"/>
        </w:rPr>
        <w:t xml:space="preserve">Viperák </w:t>
      </w:r>
      <w:proofErr w:type="spellStart"/>
      <w:r>
        <w:rPr>
          <w:color w:val="000000"/>
          <w:highlight w:val="white"/>
        </w:rPr>
        <w:t>fajzata</w:t>
      </w:r>
      <w:proofErr w:type="spellEnd"/>
      <w:r>
        <w:rPr>
          <w:color w:val="000000"/>
          <w:highlight w:val="white"/>
        </w:rPr>
        <w:t>! Hogyan szólhatnátok jót gonosz létetekre? Mert amivel csordultig van a szív, azt szólja a száj. </w:t>
      </w:r>
      <w:r>
        <w:rPr>
          <w:color w:val="000000"/>
          <w:sz w:val="18"/>
          <w:szCs w:val="18"/>
          <w:highlight w:val="white"/>
          <w:vertAlign w:val="superscript"/>
        </w:rPr>
        <w:t>35</w:t>
      </w:r>
      <w:r>
        <w:rPr>
          <w:color w:val="000000"/>
          <w:highlight w:val="white"/>
        </w:rPr>
        <w:t>A jó ember jó kincséből hoz elő jót, a gonosz ember gonosz kincséből hoz elő gonoszt. </w:t>
      </w:r>
    </w:p>
    <w:p w14:paraId="09C75A55" w14:textId="77777777" w:rsidR="00846952" w:rsidRPr="00125C2E" w:rsidRDefault="00846952" w:rsidP="00846952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ISTEN AKARATÁNAK CSELEKVÉSE</w:t>
      </w:r>
    </w:p>
    <w:p w14:paraId="3FE125CD" w14:textId="77777777" w:rsidR="00846952" w:rsidRPr="00125C2E" w:rsidRDefault="00846952" w:rsidP="00846952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„Nem mindenki megy be a mennyek országába, aki ezt mondja nekem: Uram, Uram, hanem csak az, aki cselekszi az én mennyei Atyám akaratát.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Sokan mondják majd nekem ama napon: Uram, Uram, nem a te nevedben prófétáltunk-e, nem a te nevedben űztünk-e ki ördögöket, és nem a te nevedben tettünk-e sok csodát?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És akkor kijelentem nekik: Sohasem ismertelek titeket, távozzatok tőlem, ti gonosztevők!”</w:t>
      </w:r>
    </w:p>
    <w:p w14:paraId="3B7408C8" w14:textId="77777777" w:rsidR="00846952" w:rsidRDefault="00846952" w:rsidP="00846952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AKI KŐSZIKLÁRA ÉPÍT </w:t>
      </w:r>
    </w:p>
    <w:p w14:paraId="6D81BC4B" w14:textId="77777777" w:rsidR="00846952" w:rsidRDefault="00846952" w:rsidP="00846952">
      <w:pPr>
        <w:spacing w:after="120"/>
        <w:rPr>
          <w:color w:val="000000"/>
        </w:rPr>
      </w:pP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„</w:t>
      </w:r>
      <w:proofErr w:type="gramEnd"/>
      <w:r>
        <w:rPr>
          <w:color w:val="000000"/>
          <w:highlight w:val="white"/>
        </w:rPr>
        <w:t>Aki tehát hallja tőlem ezeket a beszédeket, és cselekszi azokat, hasonló lesz az okos emberhez, aki kősziklára építette a házát.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És ömlött a zápor, és jöttek az árvizek, feltámadtak a szelek, és nekidőltek annak a háznak, de nem omlott össze, mert kősziklára volt alapozva.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Aki pedig hallja tőlem ezeket a beszédeket, de nem cselekszi, hasonló lesz a bolond emberhez, aki homokra építette a házát.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És ömlött a zápor, és jöttek az árvizek, feltámadtak a szelek, és beleütköztek abba a házba; az összeomlott, és teljesen elpusztult.”</w:t>
      </w:r>
    </w:p>
    <w:p w14:paraId="3BF75A4B" w14:textId="77777777" w:rsidR="00923F37" w:rsidRDefault="00093181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52"/>
    <w:rsid w:val="00093181"/>
    <w:rsid w:val="00297CF2"/>
    <w:rsid w:val="0043331D"/>
    <w:rsid w:val="00646919"/>
    <w:rsid w:val="00740C12"/>
    <w:rsid w:val="0084695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C28416"/>
  <w14:defaultImageDpi w14:val="32767"/>
  <w15:chartTrackingRefBased/>
  <w15:docId w15:val="{62B196B1-5B8D-9D47-82FE-112CBAD6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952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952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6952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2570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2019-11-18T13:12:00Z</dcterms:created>
  <dcterms:modified xsi:type="dcterms:W3CDTF">2019-11-18T13:13:00Z</dcterms:modified>
  <cp:category/>
</cp:coreProperties>
</file>